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572254" w:rsidRDefault="00F92268" w:rsidP="00850792">
      <w:pPr>
        <w:pStyle w:val="BodyText"/>
        <w:rPr>
          <w:sz w:val="6"/>
          <w:szCs w:val="6"/>
        </w:rPr>
      </w:pPr>
      <w:r w:rsidRPr="0057225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572254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572254" w:rsidRDefault="00F92268" w:rsidP="00682E3F">
            <w:pPr>
              <w:pStyle w:val="RefTableData"/>
            </w:pPr>
            <w:r w:rsidRPr="00572254">
              <w:t>Reference number(s)</w:t>
            </w:r>
          </w:p>
        </w:tc>
      </w:tr>
      <w:tr w:rsidR="00F92268" w:rsidRPr="00572254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A0FD445" w:rsidR="00F92268" w:rsidRPr="00572254" w:rsidRDefault="00682E3F" w:rsidP="00682E3F">
            <w:pPr>
              <w:pStyle w:val="RefTableData"/>
            </w:pPr>
            <w:r w:rsidRPr="00572254">
              <w:t>1624-A</w:t>
            </w:r>
          </w:p>
        </w:tc>
      </w:tr>
    </w:tbl>
    <w:p w14:paraId="74FBA5B4" w14:textId="77777777" w:rsidR="00051356" w:rsidRPr="00572254" w:rsidRDefault="00051356" w:rsidP="00A672B3">
      <w:pPr>
        <w:pStyle w:val="BodyText"/>
        <w:rPr>
          <w:b/>
          <w:bCs/>
          <w:sz w:val="16"/>
          <w:szCs w:val="16"/>
        </w:rPr>
        <w:sectPr w:rsidR="00051356" w:rsidRPr="00572254" w:rsidSect="003872D1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6EA1F3B" w:rsidR="004B15BB" w:rsidRPr="00572254" w:rsidRDefault="00682E3F" w:rsidP="00682E3F">
      <w:pPr>
        <w:pStyle w:val="Heading1"/>
      </w:pPr>
      <w:r w:rsidRPr="00572254">
        <w:t xml:space="preserve">Specialty Guideline Management </w:t>
      </w:r>
      <w:r w:rsidR="00BE0510">
        <w:t>c</w:t>
      </w:r>
      <w:r w:rsidR="00993A82">
        <w:t>inacalcet-Sensipar</w:t>
      </w:r>
    </w:p>
    <w:p w14:paraId="78861C92" w14:textId="4780E829" w:rsidR="00203468" w:rsidRPr="00572254" w:rsidRDefault="00C64534" w:rsidP="008E0F0D">
      <w:pPr>
        <w:pStyle w:val="Heading2"/>
      </w:pPr>
      <w:r w:rsidRPr="00572254">
        <w:t xml:space="preserve">Products Referenced by this </w:t>
      </w:r>
      <w:r w:rsidR="00501602" w:rsidRPr="00572254">
        <w:t>Document</w:t>
      </w:r>
    </w:p>
    <w:p w14:paraId="5455152B" w14:textId="6C55E16F" w:rsidR="008E0F0D" w:rsidRPr="00572254" w:rsidRDefault="00D82D85" w:rsidP="008B73E8">
      <w:pPr>
        <w:pStyle w:val="BodyText"/>
      </w:pPr>
      <w:r w:rsidRPr="00572254">
        <w:t xml:space="preserve">Drugs that are listed in the </w:t>
      </w:r>
      <w:r w:rsidR="000315F1" w:rsidRPr="00572254">
        <w:t>following table</w:t>
      </w:r>
      <w:r w:rsidRPr="00572254">
        <w:t xml:space="preserve"> include both brand and generic and all dosage forms and strengths unless otherwise stated. </w:t>
      </w:r>
      <w:r w:rsidR="00845FEB">
        <w:t>Over-the-counter (</w:t>
      </w:r>
      <w:r w:rsidRPr="00572254">
        <w:t>OTC</w:t>
      </w:r>
      <w:r w:rsidR="00845FEB">
        <w:t>)</w:t>
      </w:r>
      <w:r w:rsidRPr="00572254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572254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572254" w:rsidRDefault="00252CE1" w:rsidP="00AA1E6A">
            <w:pPr>
              <w:pStyle w:val="TableHeader"/>
            </w:pPr>
            <w:bookmarkStart w:id="0" w:name="_Hlk159603270"/>
            <w:r w:rsidRPr="00572254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572254" w:rsidRDefault="00252CE1" w:rsidP="00AA1E6A">
            <w:pPr>
              <w:pStyle w:val="TableHeader"/>
            </w:pPr>
            <w:r w:rsidRPr="00572254">
              <w:t>Generic Name</w:t>
            </w:r>
          </w:p>
        </w:tc>
      </w:tr>
      <w:tr w:rsidR="00585FFF" w:rsidRPr="00572254" w14:paraId="2AD5C02D" w14:textId="77777777" w:rsidTr="000C5A6F">
        <w:trPr>
          <w:cantSplit/>
        </w:trPr>
        <w:tc>
          <w:tcPr>
            <w:tcW w:w="5265" w:type="dxa"/>
          </w:tcPr>
          <w:p w14:paraId="2D8FA8E3" w14:textId="04310CA8" w:rsidR="00585FFF" w:rsidRPr="00572254" w:rsidRDefault="00682E3F" w:rsidP="00E82ABA">
            <w:pPr>
              <w:pStyle w:val="TableDataUnpadded"/>
            </w:pPr>
            <w:r w:rsidRPr="00572254">
              <w:t>Sensipar</w:t>
            </w:r>
          </w:p>
        </w:tc>
        <w:tc>
          <w:tcPr>
            <w:tcW w:w="5595" w:type="dxa"/>
          </w:tcPr>
          <w:p w14:paraId="7E26A004" w14:textId="70C6A2B4" w:rsidR="00585FFF" w:rsidRPr="00572254" w:rsidRDefault="00682E3F" w:rsidP="00E82ABA">
            <w:pPr>
              <w:pStyle w:val="TableDataUnpadded"/>
            </w:pPr>
            <w:r w:rsidRPr="00572254">
              <w:t>cinacalcet</w:t>
            </w:r>
          </w:p>
        </w:tc>
      </w:tr>
    </w:tbl>
    <w:bookmarkEnd w:id="0"/>
    <w:p w14:paraId="14CE6108" w14:textId="4CD6590A" w:rsidR="00FC1AAD" w:rsidRPr="00572254" w:rsidRDefault="00ED052F" w:rsidP="00AA2A94">
      <w:pPr>
        <w:pStyle w:val="Heading2"/>
        <w:tabs>
          <w:tab w:val="left" w:pos="9540"/>
        </w:tabs>
      </w:pPr>
      <w:r w:rsidRPr="00572254">
        <w:t>Indications</w:t>
      </w:r>
    </w:p>
    <w:p w14:paraId="5EBF09E9" w14:textId="77777777" w:rsidR="00682E3F" w:rsidRPr="00572254" w:rsidRDefault="00682E3F" w:rsidP="00682E3F">
      <w:pPr>
        <w:pStyle w:val="BodyText"/>
      </w:pPr>
      <w:r w:rsidRPr="0057225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F7B8375" w:rsidR="00ED052F" w:rsidRPr="00572254" w:rsidRDefault="00ED052F" w:rsidP="00ED052F">
      <w:pPr>
        <w:pStyle w:val="Heading3"/>
        <w:keepNext w:val="0"/>
      </w:pPr>
      <w:r w:rsidRPr="00572254">
        <w:t>FDA-</w:t>
      </w:r>
      <w:r w:rsidR="00666462">
        <w:t>a</w:t>
      </w:r>
      <w:r w:rsidRPr="00572254">
        <w:t>pproved Indications</w:t>
      </w:r>
      <w:r w:rsidR="00682E3F" w:rsidRPr="00572254">
        <w:rPr>
          <w:vertAlign w:val="superscript"/>
        </w:rPr>
        <w:t>1-4,</w:t>
      </w:r>
      <w:r w:rsidR="00E55075">
        <w:rPr>
          <w:vertAlign w:val="superscript"/>
        </w:rPr>
        <w:t>9</w:t>
      </w:r>
    </w:p>
    <w:p w14:paraId="7F6EE465" w14:textId="77777777" w:rsidR="00682E3F" w:rsidRPr="00572254" w:rsidRDefault="00682E3F" w:rsidP="00682E3F">
      <w:pPr>
        <w:pStyle w:val="ListParagraph"/>
        <w:numPr>
          <w:ilvl w:val="0"/>
          <w:numId w:val="29"/>
        </w:numPr>
        <w:contextualSpacing w:val="0"/>
      </w:pPr>
      <w:r w:rsidRPr="00572254">
        <w:t>Secondary hyperparathyroidism (HPT) in adult patients with chronic kidney disease (CKD) on dialysis</w:t>
      </w:r>
    </w:p>
    <w:p w14:paraId="5C3CF013" w14:textId="77777777" w:rsidR="00682E3F" w:rsidRPr="00572254" w:rsidRDefault="00682E3F" w:rsidP="00682E3F">
      <w:pPr>
        <w:pStyle w:val="ListParagraph"/>
        <w:numPr>
          <w:ilvl w:val="0"/>
          <w:numId w:val="29"/>
        </w:numPr>
        <w:contextualSpacing w:val="0"/>
      </w:pPr>
      <w:r w:rsidRPr="00572254">
        <w:t>Hypercalcemia in adult patients with parathyroid carcinoma</w:t>
      </w:r>
    </w:p>
    <w:p w14:paraId="28D2ECA2" w14:textId="77777777" w:rsidR="00682E3F" w:rsidRPr="00572254" w:rsidRDefault="00682E3F" w:rsidP="00682E3F">
      <w:pPr>
        <w:pStyle w:val="ListParagraph"/>
        <w:numPr>
          <w:ilvl w:val="0"/>
          <w:numId w:val="29"/>
        </w:numPr>
        <w:contextualSpacing w:val="0"/>
      </w:pPr>
      <w:r w:rsidRPr="00572254">
        <w:t>Hypercalcemia in adult patients with primary HPT for whom parathyroidectomy would be indicated on the basis of serum calcium levels, but who are unable to undergo parathyroidectomy</w:t>
      </w:r>
    </w:p>
    <w:p w14:paraId="0C6E2E8B" w14:textId="73764A7B" w:rsidR="00682E3F" w:rsidRPr="00572254" w:rsidRDefault="009F2EF1" w:rsidP="00682E3F">
      <w:pPr>
        <w:pStyle w:val="Heading3"/>
        <w:rPr>
          <w:vertAlign w:val="superscript"/>
        </w:rPr>
      </w:pPr>
      <w:r w:rsidRPr="00572254">
        <w:t>Compendial Uses</w:t>
      </w:r>
      <w:r w:rsidR="00682E3F" w:rsidRPr="00572254">
        <w:rPr>
          <w:vertAlign w:val="superscript"/>
        </w:rPr>
        <w:t>2,5-</w:t>
      </w:r>
      <w:r w:rsidR="00110DB9">
        <w:rPr>
          <w:vertAlign w:val="superscript"/>
        </w:rPr>
        <w:t>6</w:t>
      </w:r>
      <w:r w:rsidR="00F166C2">
        <w:rPr>
          <w:vertAlign w:val="superscript"/>
        </w:rPr>
        <w:t>,</w:t>
      </w:r>
      <w:r w:rsidR="005353CB">
        <w:rPr>
          <w:vertAlign w:val="superscript"/>
        </w:rPr>
        <w:t>10</w:t>
      </w:r>
    </w:p>
    <w:p w14:paraId="2B6B8318" w14:textId="4843BECE" w:rsidR="00682E3F" w:rsidRPr="00572254" w:rsidRDefault="00182E70" w:rsidP="00682E3F">
      <w:pPr>
        <w:pStyle w:val="BodyText"/>
      </w:pPr>
      <w:r>
        <w:t>Hypercalcemia i</w:t>
      </w:r>
      <w:r w:rsidR="00DE7DEB">
        <w:t>n</w:t>
      </w:r>
      <w:r w:rsidR="00682E3F" w:rsidRPr="00572254">
        <w:t xml:space="preserve"> post-kidney transplant patients </w:t>
      </w:r>
      <w:r w:rsidR="00DE7DEB">
        <w:t>with persistent hyperparathyroidism</w:t>
      </w:r>
    </w:p>
    <w:p w14:paraId="1296423D" w14:textId="77777777" w:rsidR="00682E3F" w:rsidRPr="00572254" w:rsidRDefault="00682E3F" w:rsidP="00682E3F">
      <w:pPr>
        <w:pStyle w:val="BodyText"/>
        <w:rPr>
          <w:rStyle w:val="normaltextrun"/>
        </w:rPr>
      </w:pPr>
      <w:r w:rsidRPr="00572254">
        <w:t xml:space="preserve">All other indications are considered experimental/investigational and </w:t>
      </w:r>
      <w:r w:rsidRPr="00572254">
        <w:rPr>
          <w:rStyle w:val="normaltextrun"/>
        </w:rPr>
        <w:t>not medically necessary.</w:t>
      </w:r>
    </w:p>
    <w:p w14:paraId="50A38FBA" w14:textId="325972F2" w:rsidR="00FE0C63" w:rsidRPr="00572254" w:rsidRDefault="00685107" w:rsidP="00E050E1">
      <w:pPr>
        <w:pStyle w:val="Heading2"/>
      </w:pPr>
      <w:r w:rsidRPr="00572254">
        <w:lastRenderedPageBreak/>
        <w:t>Coverage Criteria</w:t>
      </w:r>
    </w:p>
    <w:p w14:paraId="4AC65FA6" w14:textId="77777777" w:rsidR="00682E3F" w:rsidRPr="00572254" w:rsidRDefault="00682E3F" w:rsidP="00682E3F">
      <w:pPr>
        <w:pStyle w:val="Heading3"/>
      </w:pPr>
      <w:r w:rsidRPr="00572254">
        <w:t>Secondary Hyperparathyroidism with CKD on Dialysis</w:t>
      </w:r>
      <w:r w:rsidRPr="00572254">
        <w:rPr>
          <w:vertAlign w:val="superscript"/>
        </w:rPr>
        <w:t>1</w:t>
      </w:r>
    </w:p>
    <w:p w14:paraId="375049F6" w14:textId="77777777" w:rsidR="00682E3F" w:rsidRPr="00572254" w:rsidRDefault="00682E3F" w:rsidP="00682E3F">
      <w:pPr>
        <w:pStyle w:val="BodyText"/>
      </w:pPr>
      <w:r w:rsidRPr="00572254">
        <w:t>Authorization of 12 months may be granted for treatment of secondary hyperparathyroidism in a member with chronic kidney disease on dialysis who has a serum calcium level (corrected for albumin) greater than or equal to 8.4 mg/dL (see Appendix).</w:t>
      </w:r>
    </w:p>
    <w:p w14:paraId="1E322701" w14:textId="4DE32E95" w:rsidR="00682E3F" w:rsidRPr="00572254" w:rsidRDefault="00682E3F" w:rsidP="00682E3F">
      <w:pPr>
        <w:pStyle w:val="Heading3"/>
      </w:pPr>
      <w:r w:rsidRPr="00572254">
        <w:t>Primary Hyperparathyroidism</w:t>
      </w:r>
      <w:r w:rsidRPr="00572254">
        <w:rPr>
          <w:vertAlign w:val="superscript"/>
        </w:rPr>
        <w:t>1</w:t>
      </w:r>
    </w:p>
    <w:p w14:paraId="050F1387" w14:textId="77777777" w:rsidR="00682E3F" w:rsidRPr="00572254" w:rsidRDefault="00682E3F" w:rsidP="00682E3F">
      <w:pPr>
        <w:pStyle w:val="BodyText"/>
      </w:pPr>
      <w:r w:rsidRPr="00572254">
        <w:t>Authorization of 12 months may be granted for treatment of primary hyperparathyroidism in a member who is not able to undergo parathyroidectomy and has a serum calcium level (corrected for albumin) greater than or equal to 8.4 mg/dL (see Appendix).</w:t>
      </w:r>
    </w:p>
    <w:p w14:paraId="2E6CE46E" w14:textId="52C62255" w:rsidR="00682E3F" w:rsidRPr="00572254" w:rsidRDefault="00F522F5" w:rsidP="00682E3F">
      <w:pPr>
        <w:pStyle w:val="Heading3"/>
      </w:pPr>
      <w:r>
        <w:t>Persistent H</w:t>
      </w:r>
      <w:r w:rsidR="005F54E5">
        <w:t>y</w:t>
      </w:r>
      <w:r>
        <w:t>perparathyroidism</w:t>
      </w:r>
      <w:r w:rsidR="00682E3F" w:rsidRPr="00572254">
        <w:t xml:space="preserve"> in Post-Kidney Transplant Patients</w:t>
      </w:r>
      <w:r w:rsidR="00682E3F" w:rsidRPr="00572254">
        <w:rPr>
          <w:vertAlign w:val="superscript"/>
        </w:rPr>
        <w:t>2,5-</w:t>
      </w:r>
      <w:r w:rsidR="00A15E9B">
        <w:rPr>
          <w:vertAlign w:val="superscript"/>
        </w:rPr>
        <w:t>7</w:t>
      </w:r>
      <w:r w:rsidR="005353CB">
        <w:rPr>
          <w:vertAlign w:val="superscript"/>
        </w:rPr>
        <w:t>,10</w:t>
      </w:r>
    </w:p>
    <w:p w14:paraId="22842741" w14:textId="7766CA87" w:rsidR="00682E3F" w:rsidRPr="00572254" w:rsidRDefault="00682E3F" w:rsidP="00682E3F">
      <w:pPr>
        <w:pStyle w:val="BodyText"/>
      </w:pPr>
      <w:r w:rsidRPr="00572254">
        <w:t xml:space="preserve">Authorization of 12 months may be granted for treatment of </w:t>
      </w:r>
      <w:r w:rsidR="000E79C8">
        <w:t>persistent hyperparathyroidism</w:t>
      </w:r>
      <w:r w:rsidRPr="00572254">
        <w:t xml:space="preserve"> in a member who has had a kidney transplant</w:t>
      </w:r>
      <w:r w:rsidR="007A181C">
        <w:t xml:space="preserve"> and </w:t>
      </w:r>
      <w:r w:rsidRPr="00572254">
        <w:t>has a serum calcium level (corrected for albumin) greater than or equal to 8.4 mg/dL (see Appendix).</w:t>
      </w:r>
    </w:p>
    <w:p w14:paraId="42E2B38B" w14:textId="77777777" w:rsidR="00682E3F" w:rsidRPr="00572254" w:rsidRDefault="00682E3F" w:rsidP="00682E3F">
      <w:pPr>
        <w:pStyle w:val="Heading3"/>
      </w:pPr>
      <w:r w:rsidRPr="00572254">
        <w:t>Parathyroid Carcinoma</w:t>
      </w:r>
      <w:r w:rsidRPr="00572254">
        <w:rPr>
          <w:vertAlign w:val="superscript"/>
        </w:rPr>
        <w:t>1</w:t>
      </w:r>
    </w:p>
    <w:p w14:paraId="0E0EA78D" w14:textId="77777777" w:rsidR="00682E3F" w:rsidRPr="00572254" w:rsidRDefault="00682E3F" w:rsidP="00682E3F">
      <w:pPr>
        <w:pStyle w:val="BodyText"/>
      </w:pPr>
      <w:r w:rsidRPr="00572254">
        <w:t>Authorization of 12 months may be granted for the treatment of parathyroid carcinoma in a member who has a serum calcium level (corrected for albumin) greater than or equal to 8.4 mg/dL (see Appendix).</w:t>
      </w:r>
    </w:p>
    <w:p w14:paraId="3A643EC3" w14:textId="37574C94" w:rsidR="00A501AC" w:rsidRPr="00572254" w:rsidRDefault="00A501AC" w:rsidP="00A501AC">
      <w:pPr>
        <w:pStyle w:val="Heading2"/>
      </w:pPr>
      <w:r w:rsidRPr="00572254">
        <w:t>Continuation of Therapy</w:t>
      </w:r>
    </w:p>
    <w:p w14:paraId="0F913ECD" w14:textId="77777777" w:rsidR="00682E3F" w:rsidRPr="00572254" w:rsidRDefault="00682E3F" w:rsidP="00682E3F">
      <w:pPr>
        <w:pStyle w:val="BodyText"/>
      </w:pPr>
      <w:r w:rsidRPr="00572254">
        <w:t>Authorization of 12 months may be granted for continued treatment in members requesting reauthorization for an indication listed in the coverage criteria section when the following criteria are met:</w:t>
      </w:r>
    </w:p>
    <w:p w14:paraId="25045949" w14:textId="77777777" w:rsidR="00682E3F" w:rsidRPr="00572254" w:rsidRDefault="00682E3F" w:rsidP="00682E3F">
      <w:pPr>
        <w:pStyle w:val="Heading3"/>
      </w:pPr>
      <w:r w:rsidRPr="00572254">
        <w:t>Secondary Hyperparathyroidism with CKD on Dialysis</w:t>
      </w:r>
      <w:r w:rsidRPr="00572254">
        <w:rPr>
          <w:vertAlign w:val="superscript"/>
        </w:rPr>
        <w:t>1</w:t>
      </w:r>
    </w:p>
    <w:p w14:paraId="32E21146" w14:textId="77777777" w:rsidR="00682E3F" w:rsidRPr="00572254" w:rsidRDefault="00682E3F" w:rsidP="00682E3F">
      <w:pPr>
        <w:pStyle w:val="BodyText"/>
      </w:pPr>
      <w:r w:rsidRPr="00572254">
        <w:t xml:space="preserve">Member is experiencing benefit from therapy as evidenced by a decrease in </w:t>
      </w:r>
      <w:bookmarkStart w:id="1" w:name="OLE_LINK5"/>
      <w:r w:rsidRPr="00572254">
        <w:t xml:space="preserve">intact parathyroid hormone (iPTH) levels </w:t>
      </w:r>
      <w:bookmarkEnd w:id="1"/>
      <w:r w:rsidRPr="00572254">
        <w:t>from pretreatment baseline.</w:t>
      </w:r>
    </w:p>
    <w:p w14:paraId="707454A9" w14:textId="0B80FCC2" w:rsidR="00682E3F" w:rsidRPr="00572254" w:rsidRDefault="00682E3F" w:rsidP="00682E3F">
      <w:pPr>
        <w:pStyle w:val="Heading3"/>
      </w:pPr>
      <w:r w:rsidRPr="00572254">
        <w:t xml:space="preserve">All </w:t>
      </w:r>
      <w:r w:rsidR="00825661" w:rsidRPr="00572254">
        <w:t>Other Indications</w:t>
      </w:r>
      <w:r w:rsidR="00825661" w:rsidRPr="00572254">
        <w:rPr>
          <w:vertAlign w:val="superscript"/>
        </w:rPr>
        <w:t>1</w:t>
      </w:r>
      <w:r w:rsidRPr="00572254">
        <w:rPr>
          <w:vertAlign w:val="superscript"/>
        </w:rPr>
        <w:t>,5</w:t>
      </w:r>
    </w:p>
    <w:p w14:paraId="39E0D247" w14:textId="77777777" w:rsidR="00682E3F" w:rsidRPr="00572254" w:rsidRDefault="00682E3F" w:rsidP="00682E3F">
      <w:pPr>
        <w:pStyle w:val="BodyText"/>
      </w:pPr>
      <w:r w:rsidRPr="00572254">
        <w:t xml:space="preserve">Member is experiencing benefit from therapy </w:t>
      </w:r>
      <w:bookmarkStart w:id="2" w:name="OLE_LINK7"/>
      <w:bookmarkStart w:id="3" w:name="OLE_LINK8"/>
      <w:r w:rsidRPr="00572254">
        <w:t>(e.g., decreased or normalized corrected serum calcium levels since starting therapy)</w:t>
      </w:r>
      <w:bookmarkEnd w:id="2"/>
      <w:bookmarkEnd w:id="3"/>
      <w:r w:rsidRPr="00572254">
        <w:t>.</w:t>
      </w:r>
    </w:p>
    <w:p w14:paraId="784D6ED7" w14:textId="2327618E" w:rsidR="008B1332" w:rsidRPr="00572254" w:rsidRDefault="00B65538" w:rsidP="008B1332">
      <w:pPr>
        <w:pStyle w:val="Heading2"/>
      </w:pPr>
      <w:r w:rsidRPr="00572254">
        <w:t>Appendix</w:t>
      </w:r>
      <w:r w:rsidR="005353CB">
        <w:rPr>
          <w:vertAlign w:val="superscript"/>
        </w:rPr>
        <w:t>9</w:t>
      </w:r>
    </w:p>
    <w:p w14:paraId="4D3C701E" w14:textId="77777777" w:rsidR="00682E3F" w:rsidRPr="00572254" w:rsidRDefault="00682E3F" w:rsidP="00682E3F">
      <w:pPr>
        <w:pStyle w:val="BodyText"/>
      </w:pPr>
      <w:r w:rsidRPr="00572254">
        <w:t>Corrected calcium = measured total calcium + 0.8(4.0 – serum albumin)</w:t>
      </w:r>
    </w:p>
    <w:p w14:paraId="19083019" w14:textId="77777777" w:rsidR="00682E3F" w:rsidRPr="00572254" w:rsidRDefault="00FF66BF" w:rsidP="00682E3F">
      <w:pPr>
        <w:pStyle w:val="Heading2"/>
      </w:pPr>
      <w:r w:rsidRPr="00572254">
        <w:t>References</w:t>
      </w:r>
    </w:p>
    <w:p w14:paraId="471DB67A" w14:textId="3D74930E" w:rsidR="00682E3F" w:rsidRPr="00572254" w:rsidRDefault="00682E3F" w:rsidP="00572254">
      <w:pPr>
        <w:pStyle w:val="ReferenceOrdered"/>
      </w:pPr>
      <w:r w:rsidRPr="00572254">
        <w:t xml:space="preserve">Cinacalcet [package insert]. Cranbury, NJ: Sun Pharmaceuticals Industries, Inc.; </w:t>
      </w:r>
      <w:r w:rsidR="004A5B75">
        <w:t>January 2024</w:t>
      </w:r>
      <w:r w:rsidRPr="00572254">
        <w:t>.</w:t>
      </w:r>
    </w:p>
    <w:p w14:paraId="59EE4F12" w14:textId="77777777" w:rsidR="00682E3F" w:rsidRPr="00572254" w:rsidRDefault="00682E3F" w:rsidP="00572254">
      <w:pPr>
        <w:pStyle w:val="ReferenceOrdered"/>
      </w:pPr>
      <w:r w:rsidRPr="00572254">
        <w:t>Sensipar [package insert]. Thousand Oaks, CA: Amgen, Inc.; December 2019.</w:t>
      </w:r>
    </w:p>
    <w:p w14:paraId="265C3CD5" w14:textId="3C3A5D39" w:rsidR="00682E3F" w:rsidRPr="00572254" w:rsidRDefault="00682E3F" w:rsidP="00572254">
      <w:pPr>
        <w:pStyle w:val="ReferenceOrdered"/>
      </w:pPr>
      <w:r w:rsidRPr="00572254">
        <w:t xml:space="preserve">Micromedex Solutions [database online]. Truven Health Analytics, Inc. Ann Arbor, MI. Available at: www.micromedexsolutions.com. Accessed October </w:t>
      </w:r>
      <w:r w:rsidR="00687C30">
        <w:t>7, 2024</w:t>
      </w:r>
      <w:r w:rsidRPr="00572254">
        <w:t>.</w:t>
      </w:r>
    </w:p>
    <w:p w14:paraId="3B96824F" w14:textId="26172515" w:rsidR="00682E3F" w:rsidRPr="00572254" w:rsidRDefault="00682E3F" w:rsidP="00572254">
      <w:pPr>
        <w:pStyle w:val="ReferenceOrdered"/>
      </w:pPr>
      <w:r w:rsidRPr="00572254">
        <w:t xml:space="preserve">AHFS DI (Adult and Pediatric) [database online]. Lexi-Comp, Inc. Hudson, OH. Available at: http://online.lexi.com/lco/action/index/dataset/complete_ashp [available with subscription]. Accessed October </w:t>
      </w:r>
      <w:r w:rsidR="00687C30">
        <w:t>7, 2024</w:t>
      </w:r>
      <w:r w:rsidRPr="00572254">
        <w:t>.</w:t>
      </w:r>
    </w:p>
    <w:p w14:paraId="1811DCC1" w14:textId="60F65425" w:rsidR="00682E3F" w:rsidRPr="00572254" w:rsidRDefault="00682E3F" w:rsidP="00572254">
      <w:pPr>
        <w:pStyle w:val="ReferenceOrdered"/>
      </w:pPr>
      <w:r w:rsidRPr="00572254">
        <w:t xml:space="preserve">Clinical Pharmacology [Internet]. Elsevier. Tampa (FL). Available at: http://www.clinicalpharmacology.com. Accessed October </w:t>
      </w:r>
      <w:r w:rsidR="00687C30">
        <w:t>7, 2024</w:t>
      </w:r>
      <w:r w:rsidRPr="00572254">
        <w:t>.</w:t>
      </w:r>
    </w:p>
    <w:p w14:paraId="004E999B" w14:textId="77777777" w:rsidR="00682E3F" w:rsidRPr="00572254" w:rsidRDefault="00682E3F" w:rsidP="00572254">
      <w:pPr>
        <w:pStyle w:val="ReferenceOrdered"/>
      </w:pPr>
      <w:bookmarkStart w:id="4" w:name="OLE_LINK15"/>
      <w:proofErr w:type="spellStart"/>
      <w:r w:rsidRPr="00572254">
        <w:t>Evenepoel</w:t>
      </w:r>
      <w:proofErr w:type="spellEnd"/>
      <w:r w:rsidRPr="00572254">
        <w:t xml:space="preserve"> P, Cooper K, </w:t>
      </w:r>
      <w:proofErr w:type="spellStart"/>
      <w:r w:rsidRPr="00572254">
        <w:t>Holdaas</w:t>
      </w:r>
      <w:proofErr w:type="spellEnd"/>
      <w:r w:rsidRPr="00572254">
        <w:t xml:space="preserve"> H, et al. A randomized study evaluating cinacalcet to treat hypercalcemia in renal transplant recipients with persistent hyperparathyroidism. Am J Transplant 2014;14:2545-2555.2023.</w:t>
      </w:r>
    </w:p>
    <w:bookmarkEnd w:id="4"/>
    <w:p w14:paraId="36A6FAFD" w14:textId="1B0E76C0" w:rsidR="00682E3F" w:rsidRPr="00572254" w:rsidRDefault="00682E3F" w:rsidP="00572254">
      <w:pPr>
        <w:pStyle w:val="ReferenceOrdered"/>
      </w:pPr>
      <w:r w:rsidRPr="00572254">
        <w:t xml:space="preserve">Kruse AE, </w:t>
      </w:r>
      <w:proofErr w:type="spellStart"/>
      <w:r w:rsidRPr="00572254">
        <w:t>Ensenberger</w:t>
      </w:r>
      <w:proofErr w:type="spellEnd"/>
      <w:r w:rsidRPr="00572254">
        <w:t xml:space="preserve"> U, Frey FJ, et al. The calcimimetic cinacalcet normalizes serum calcium in renal transplant patients with persistent hyperparathyroidism. Nephrol Dial Transplant. 2005;20:1311-1314.</w:t>
      </w:r>
    </w:p>
    <w:p w14:paraId="3EF791DA" w14:textId="77777777" w:rsidR="00682E3F" w:rsidRPr="00572254" w:rsidRDefault="00682E3F" w:rsidP="00572254">
      <w:pPr>
        <w:pStyle w:val="ReferenceOrdered"/>
      </w:pPr>
      <w:bookmarkStart w:id="5" w:name="OLE_LINK17"/>
      <w:bookmarkStart w:id="6" w:name="OLE_LINK18"/>
      <w:bookmarkStart w:id="7" w:name="OLE_LINK12"/>
      <w:r w:rsidRPr="00572254">
        <w:t>Srinivas TR, Schold JD, Womer KL, et al. Improvement in hypercalcemia with cinacalcet after kidney transplantation. Clin J Am Soc Nephrol. 2006;1:323–326.</w:t>
      </w:r>
      <w:bookmarkEnd w:id="5"/>
      <w:bookmarkEnd w:id="6"/>
    </w:p>
    <w:p w14:paraId="404EB17A" w14:textId="77777777" w:rsidR="007C116E" w:rsidRDefault="00682E3F" w:rsidP="00572254">
      <w:pPr>
        <w:pStyle w:val="ReferenceOrdered"/>
      </w:pPr>
      <w:bookmarkStart w:id="8" w:name="OLE_LINK16"/>
      <w:bookmarkEnd w:id="7"/>
      <w:proofErr w:type="spellStart"/>
      <w:r w:rsidRPr="00572254">
        <w:t>Shoback</w:t>
      </w:r>
      <w:proofErr w:type="spellEnd"/>
      <w:r w:rsidRPr="00572254">
        <w:t xml:space="preserve"> D. Hypoparathyroidism. NEJM. 2008;359: 391-403.</w:t>
      </w:r>
    </w:p>
    <w:p w14:paraId="1B1295EA" w14:textId="0C03CCC6" w:rsidR="007C116E" w:rsidRDefault="00C57D9E" w:rsidP="000E05CE">
      <w:pPr>
        <w:pStyle w:val="ReferenceOrdered"/>
      </w:pPr>
      <w:r>
        <w:t>Palumbo VD, Damiano G, Messina M, et al. Tertiary hyperparathyroidism: a review. Clin Ter. 2021;</w:t>
      </w:r>
      <w:r w:rsidR="00E5416B">
        <w:t>172(3):241-246.</w:t>
      </w:r>
      <w:bookmarkEnd w:id="8"/>
    </w:p>
    <w:sectPr w:rsidR="007C116E" w:rsidSect="003872D1">
      <w:footerReference w:type="default" r:id="rId15"/>
      <w:headerReference w:type="first" r:id="rId16"/>
      <w:footerReference w:type="first" r:id="rId17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100FD" w14:textId="77777777" w:rsidR="00C11CCD" w:rsidRDefault="00C11CCD">
      <w:r>
        <w:separator/>
      </w:r>
    </w:p>
  </w:endnote>
  <w:endnote w:type="continuationSeparator" w:id="0">
    <w:p w14:paraId="7C0A4C1B" w14:textId="77777777" w:rsidR="00C11CCD" w:rsidRDefault="00C11CCD">
      <w:r>
        <w:continuationSeparator/>
      </w:r>
    </w:p>
  </w:endnote>
  <w:endnote w:type="continuationNotice" w:id="1">
    <w:p w14:paraId="2B8B7D94" w14:textId="77777777" w:rsidR="00C11CCD" w:rsidRDefault="00C11C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12A1" w14:textId="63FCCBB6" w:rsidR="00CD5286" w:rsidRPr="00EC47B6" w:rsidRDefault="00CD5286" w:rsidP="00CD5286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5701DC">
      <w:rPr>
        <w:rFonts w:cs="Arial"/>
        <w:noProof/>
        <w:sz w:val="16"/>
        <w:szCs w:val="16"/>
      </w:rPr>
      <w:t>cinacalcet-Sensipar</w:t>
    </w:r>
    <w:r>
      <w:rPr>
        <w:rFonts w:cs="Arial"/>
        <w:noProof/>
        <w:snapToGrid w:val="0"/>
        <w:color w:val="000000"/>
        <w:sz w:val="16"/>
        <w:szCs w:val="16"/>
      </w:rPr>
      <w:t xml:space="preserve"> SGM 1624-A </w:t>
    </w:r>
    <w:r w:rsidRPr="005701DC">
      <w:rPr>
        <w:rFonts w:cs="Arial"/>
        <w:noProof/>
        <w:sz w:val="16"/>
        <w:szCs w:val="16"/>
      </w:rPr>
      <w:t>2024</w:t>
    </w:r>
    <w:r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25D06575" w14:textId="77777777" w:rsidR="00CD5286" w:rsidRPr="00EC47B6" w:rsidRDefault="00CD5286" w:rsidP="00CD5286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46D11178" w14:textId="77777777" w:rsidR="00CD5286" w:rsidRPr="00EC47B6" w:rsidRDefault="00CD5286" w:rsidP="00CD5286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  <w:p w14:paraId="0DF8DEBC" w14:textId="5338CA58" w:rsidR="00F75C81" w:rsidRPr="00AA1E6A" w:rsidRDefault="00F75C81" w:rsidP="00AA1E6A">
    <w:pPr>
      <w:tabs>
        <w:tab w:val="right" w:pos="10710"/>
      </w:tabs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1B2E00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F4ACD" w:rsidRPr="004F4ACD">
      <w:rPr>
        <w:rFonts w:cs="Arial"/>
        <w:noProof/>
        <w:sz w:val="16"/>
        <w:szCs w:val="16"/>
      </w:rPr>
      <w:t>cinacalcet-Sensipar</w:t>
    </w:r>
    <w:r w:rsidR="004F4ACD">
      <w:rPr>
        <w:rFonts w:cs="Arial"/>
        <w:noProof/>
        <w:snapToGrid w:val="0"/>
        <w:color w:val="000000"/>
        <w:sz w:val="16"/>
        <w:szCs w:val="16"/>
      </w:rPr>
      <w:t xml:space="preserve"> SGM 1624-A </w:t>
    </w:r>
    <w:r w:rsidR="004F4ACD" w:rsidRPr="004F4ACD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238F613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9941D68" w:rsidR="00ED04EC" w:rsidRPr="006D5FDA" w:rsidRDefault="00F50D98" w:rsidP="006D5FD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8310" w14:textId="3A0D7BF7" w:rsidR="00CB2B58" w:rsidRPr="00EC47B6" w:rsidRDefault="00CB2B58" w:rsidP="00CB2B5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F4ACD" w:rsidRPr="004F4ACD">
      <w:rPr>
        <w:rFonts w:cs="Arial"/>
        <w:noProof/>
        <w:sz w:val="16"/>
        <w:szCs w:val="16"/>
      </w:rPr>
      <w:t>cinacalcet-Sensipar</w:t>
    </w:r>
    <w:r w:rsidR="004F4ACD">
      <w:rPr>
        <w:rFonts w:cs="Arial"/>
        <w:noProof/>
        <w:snapToGrid w:val="0"/>
        <w:color w:val="000000"/>
        <w:sz w:val="16"/>
        <w:szCs w:val="16"/>
      </w:rPr>
      <w:t xml:space="preserve"> SGM 1624-A </w:t>
    </w:r>
    <w:r w:rsidR="004F4ACD" w:rsidRPr="004F4ACD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42BBCAD0" w14:textId="79A86138" w:rsidR="00CB2B58" w:rsidRPr="00EC47B6" w:rsidRDefault="00CB2B58" w:rsidP="00CB2B5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0371A48" w14:textId="2E25C2A1" w:rsidR="00BE0510" w:rsidRPr="006D5FDA" w:rsidRDefault="00CB2B58" w:rsidP="006D5FD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3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789D" w14:textId="77777777" w:rsidR="00C91893" w:rsidRPr="00EC47B6" w:rsidRDefault="00C91893" w:rsidP="00C9189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5701DC">
      <w:rPr>
        <w:rFonts w:cs="Arial"/>
        <w:noProof/>
        <w:sz w:val="16"/>
        <w:szCs w:val="16"/>
      </w:rPr>
      <w:t>cinacalcet-Sensipar</w:t>
    </w:r>
    <w:r>
      <w:rPr>
        <w:rFonts w:cs="Arial"/>
        <w:noProof/>
        <w:snapToGrid w:val="0"/>
        <w:color w:val="000000"/>
        <w:sz w:val="16"/>
        <w:szCs w:val="16"/>
      </w:rPr>
      <w:t xml:space="preserve"> SGM 1624-A </w:t>
    </w:r>
    <w:r w:rsidRPr="005701DC">
      <w:rPr>
        <w:rFonts w:cs="Arial"/>
        <w:noProof/>
        <w:sz w:val="16"/>
        <w:szCs w:val="16"/>
      </w:rPr>
      <w:t>2024</w:t>
    </w:r>
    <w:r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00470025" w14:textId="77777777" w:rsidR="00C91893" w:rsidRPr="00EC47B6" w:rsidRDefault="00C91893" w:rsidP="00C9189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8D05303" w14:textId="79811F88" w:rsidR="007C116E" w:rsidRPr="00C91893" w:rsidRDefault="00C91893" w:rsidP="00C91893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3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8034A" w14:textId="77777777" w:rsidR="00C11CCD" w:rsidRDefault="00C11CCD">
      <w:r>
        <w:separator/>
      </w:r>
    </w:p>
  </w:footnote>
  <w:footnote w:type="continuationSeparator" w:id="0">
    <w:p w14:paraId="4351A5DC" w14:textId="77777777" w:rsidR="00C11CCD" w:rsidRDefault="00C11CCD">
      <w:r>
        <w:continuationSeparator/>
      </w:r>
    </w:p>
  </w:footnote>
  <w:footnote w:type="continuationNotice" w:id="1">
    <w:p w14:paraId="03D7AEFE" w14:textId="77777777" w:rsidR="00C11CCD" w:rsidRDefault="00C11C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5246C8" w:rsidRDefault="00ED04EC" w:rsidP="005246C8">
          <w:pPr>
            <w:pStyle w:val="RefTableData"/>
          </w:pPr>
          <w:r w:rsidRPr="005246C8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1859483" w:rsidR="00ED04EC" w:rsidRPr="005246C8" w:rsidRDefault="005246C8" w:rsidP="005246C8">
          <w:pPr>
            <w:pStyle w:val="RefTableData"/>
          </w:pPr>
          <w:r w:rsidRPr="005246C8">
            <w:t>1624-A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C116E" w:rsidRPr="00ED04EC" w14:paraId="68FE267F" w14:textId="77777777">
      <w:trPr>
        <w:trHeight w:val="144"/>
        <w:jc w:val="right"/>
      </w:trPr>
      <w:tc>
        <w:tcPr>
          <w:tcW w:w="1854" w:type="dxa"/>
          <w:hideMark/>
        </w:tcPr>
        <w:p w14:paraId="57E43626" w14:textId="77777777" w:rsidR="007C116E" w:rsidRPr="005246C8" w:rsidRDefault="007C116E" w:rsidP="007C116E">
          <w:pPr>
            <w:pStyle w:val="RefTableData"/>
          </w:pPr>
          <w:r w:rsidRPr="005246C8">
            <w:t>Reference number(s)</w:t>
          </w:r>
        </w:p>
      </w:tc>
    </w:tr>
    <w:tr w:rsidR="007C116E" w:rsidRPr="00ED04EC" w14:paraId="1DAFB105" w14:textId="77777777">
      <w:trPr>
        <w:trHeight w:val="378"/>
        <w:jc w:val="right"/>
      </w:trPr>
      <w:tc>
        <w:tcPr>
          <w:tcW w:w="1854" w:type="dxa"/>
          <w:hideMark/>
        </w:tcPr>
        <w:p w14:paraId="7917B60B" w14:textId="77777777" w:rsidR="007C116E" w:rsidRPr="005246C8" w:rsidRDefault="007C116E" w:rsidP="007C116E">
          <w:pPr>
            <w:pStyle w:val="RefTableData"/>
          </w:pPr>
          <w:r w:rsidRPr="005246C8">
            <w:t>1624-A</w:t>
          </w:r>
        </w:p>
      </w:tc>
    </w:tr>
  </w:tbl>
  <w:p w14:paraId="72D97F63" w14:textId="77777777" w:rsidR="007C116E" w:rsidRPr="007C116E" w:rsidRDefault="007C116E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56602"/>
    <w:multiLevelType w:val="hybridMultilevel"/>
    <w:tmpl w:val="369EBEB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620B3C"/>
    <w:multiLevelType w:val="hybridMultilevel"/>
    <w:tmpl w:val="978437F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640733"/>
    <w:multiLevelType w:val="hybridMultilevel"/>
    <w:tmpl w:val="07EAF1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45026"/>
    <w:multiLevelType w:val="hybridMultilevel"/>
    <w:tmpl w:val="7EC2488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34D32"/>
    <w:multiLevelType w:val="hybridMultilevel"/>
    <w:tmpl w:val="3E325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905887"/>
    <w:multiLevelType w:val="hybridMultilevel"/>
    <w:tmpl w:val="00287FF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640DF"/>
    <w:multiLevelType w:val="hybridMultilevel"/>
    <w:tmpl w:val="850217AA"/>
    <w:lvl w:ilvl="0" w:tplc="411A077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5A2A8376">
      <w:start w:val="1"/>
      <w:numFmt w:val="upperLetter"/>
      <w:lvlText w:val="%2."/>
      <w:lvlJc w:val="left"/>
      <w:pPr>
        <w:ind w:left="1080" w:hanging="360"/>
      </w:pPr>
      <w:rPr>
        <w:rFonts w:ascii="Arial" w:eastAsia="Times New Roman" w:hAnsi="Arial" w:cs="Arial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CF69D4"/>
    <w:multiLevelType w:val="hybridMultilevel"/>
    <w:tmpl w:val="30E423A8"/>
    <w:lvl w:ilvl="0" w:tplc="28FCB8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3"/>
  </w:num>
  <w:num w:numId="18" w16cid:durableId="299724409">
    <w:abstractNumId w:val="26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4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18"/>
  </w:num>
  <w:num w:numId="26" w16cid:durableId="1950313333">
    <w:abstractNumId w:val="24"/>
  </w:num>
  <w:num w:numId="27" w16cid:durableId="1866016584">
    <w:abstractNumId w:val="21"/>
  </w:num>
  <w:num w:numId="28" w16cid:durableId="1401253151">
    <w:abstractNumId w:val="20"/>
  </w:num>
  <w:num w:numId="29" w16cid:durableId="1841501169">
    <w:abstractNumId w:val="23"/>
  </w:num>
  <w:num w:numId="30" w16cid:durableId="1666125011">
    <w:abstractNumId w:val="31"/>
  </w:num>
  <w:num w:numId="31" w16cid:durableId="16124428">
    <w:abstractNumId w:val="22"/>
  </w:num>
  <w:num w:numId="32" w16cid:durableId="1754543663">
    <w:abstractNumId w:val="12"/>
  </w:num>
  <w:num w:numId="33" w16cid:durableId="828204706">
    <w:abstractNumId w:val="32"/>
  </w:num>
  <w:num w:numId="34" w16cid:durableId="2111973094">
    <w:abstractNumId w:val="15"/>
  </w:num>
  <w:num w:numId="35" w16cid:durableId="356665248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6FEA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785"/>
    <w:rsid w:val="0004480D"/>
    <w:rsid w:val="000455C8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0A2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19C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4496"/>
    <w:rsid w:val="000B57DC"/>
    <w:rsid w:val="000B5871"/>
    <w:rsid w:val="000B5AEB"/>
    <w:rsid w:val="000B5E31"/>
    <w:rsid w:val="000B6086"/>
    <w:rsid w:val="000B61D7"/>
    <w:rsid w:val="000B7167"/>
    <w:rsid w:val="000B71C5"/>
    <w:rsid w:val="000B7827"/>
    <w:rsid w:val="000B7CFC"/>
    <w:rsid w:val="000C09D6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F8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5CE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9C8"/>
    <w:rsid w:val="000E7B01"/>
    <w:rsid w:val="000E7C60"/>
    <w:rsid w:val="000F0AC9"/>
    <w:rsid w:val="000F1039"/>
    <w:rsid w:val="000F1FBC"/>
    <w:rsid w:val="000F2A45"/>
    <w:rsid w:val="000F3023"/>
    <w:rsid w:val="000F41E3"/>
    <w:rsid w:val="000F4207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B9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0C43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3DBB"/>
    <w:rsid w:val="00154B0F"/>
    <w:rsid w:val="00154E30"/>
    <w:rsid w:val="00155029"/>
    <w:rsid w:val="00155A51"/>
    <w:rsid w:val="001560C4"/>
    <w:rsid w:val="00156A50"/>
    <w:rsid w:val="00156B77"/>
    <w:rsid w:val="00156E31"/>
    <w:rsid w:val="00160472"/>
    <w:rsid w:val="00160E9C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2E70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0C3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290A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5DC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CD0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202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1940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8FA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144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3E87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10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6FB1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352"/>
    <w:rsid w:val="00302DBD"/>
    <w:rsid w:val="003030D7"/>
    <w:rsid w:val="00304F20"/>
    <w:rsid w:val="00305223"/>
    <w:rsid w:val="003057FC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B4D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6B73"/>
    <w:rsid w:val="00327428"/>
    <w:rsid w:val="00327C29"/>
    <w:rsid w:val="00330E29"/>
    <w:rsid w:val="003319A7"/>
    <w:rsid w:val="00332104"/>
    <w:rsid w:val="00332261"/>
    <w:rsid w:val="0033231E"/>
    <w:rsid w:val="003332A3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D36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4F7"/>
    <w:rsid w:val="00384D85"/>
    <w:rsid w:val="0038594B"/>
    <w:rsid w:val="00385C81"/>
    <w:rsid w:val="00386F82"/>
    <w:rsid w:val="003872D1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139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29AB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5A40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BD7"/>
    <w:rsid w:val="004074C0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29C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66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039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629"/>
    <w:rsid w:val="004A476E"/>
    <w:rsid w:val="004A5096"/>
    <w:rsid w:val="004A5B75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6A38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AC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5E3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6C8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3C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711"/>
    <w:rsid w:val="00542E88"/>
    <w:rsid w:val="005444CF"/>
    <w:rsid w:val="00544D46"/>
    <w:rsid w:val="00545584"/>
    <w:rsid w:val="005462B1"/>
    <w:rsid w:val="0054721E"/>
    <w:rsid w:val="00547C02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1DC"/>
    <w:rsid w:val="00571574"/>
    <w:rsid w:val="00572254"/>
    <w:rsid w:val="005724E9"/>
    <w:rsid w:val="0057290E"/>
    <w:rsid w:val="00572BE3"/>
    <w:rsid w:val="00572C22"/>
    <w:rsid w:val="00573B96"/>
    <w:rsid w:val="00573FDC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23A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4EAE"/>
    <w:rsid w:val="005D580B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4E5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066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0EF8"/>
    <w:rsid w:val="00621772"/>
    <w:rsid w:val="00622770"/>
    <w:rsid w:val="00622801"/>
    <w:rsid w:val="00622BDF"/>
    <w:rsid w:val="00623221"/>
    <w:rsid w:val="00624717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9A4"/>
    <w:rsid w:val="0064175A"/>
    <w:rsid w:val="00642734"/>
    <w:rsid w:val="00642971"/>
    <w:rsid w:val="00642BEF"/>
    <w:rsid w:val="006434FA"/>
    <w:rsid w:val="00643E65"/>
    <w:rsid w:val="00643E90"/>
    <w:rsid w:val="00644592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FE1"/>
    <w:rsid w:val="0066217F"/>
    <w:rsid w:val="00662694"/>
    <w:rsid w:val="00662743"/>
    <w:rsid w:val="00662DA2"/>
    <w:rsid w:val="0066350F"/>
    <w:rsid w:val="00663627"/>
    <w:rsid w:val="00665820"/>
    <w:rsid w:val="00666462"/>
    <w:rsid w:val="00666579"/>
    <w:rsid w:val="00666A21"/>
    <w:rsid w:val="00666FFD"/>
    <w:rsid w:val="00667755"/>
    <w:rsid w:val="00667944"/>
    <w:rsid w:val="00670218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2E3F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87C30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68C2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286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FDA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C79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19A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81C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15"/>
    <w:rsid w:val="007B7B09"/>
    <w:rsid w:val="007B7C01"/>
    <w:rsid w:val="007C116E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3E7F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654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5661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FEB"/>
    <w:rsid w:val="008465D2"/>
    <w:rsid w:val="00850792"/>
    <w:rsid w:val="00850819"/>
    <w:rsid w:val="00851818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2AE3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279"/>
    <w:rsid w:val="008828CA"/>
    <w:rsid w:val="00882AD4"/>
    <w:rsid w:val="00882C00"/>
    <w:rsid w:val="00882E5B"/>
    <w:rsid w:val="00882EAF"/>
    <w:rsid w:val="00884B55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5F3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4DF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BA1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6F6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D0E"/>
    <w:rsid w:val="0099311D"/>
    <w:rsid w:val="00993552"/>
    <w:rsid w:val="00993A8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1F48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5F26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2BB6"/>
    <w:rsid w:val="00A1366E"/>
    <w:rsid w:val="00A1485F"/>
    <w:rsid w:val="00A14BF4"/>
    <w:rsid w:val="00A14F1C"/>
    <w:rsid w:val="00A156C9"/>
    <w:rsid w:val="00A15AE5"/>
    <w:rsid w:val="00A15E9B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BE4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9D4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398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C9F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836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1BD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33F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510"/>
    <w:rsid w:val="00BE0818"/>
    <w:rsid w:val="00BE1277"/>
    <w:rsid w:val="00BE181E"/>
    <w:rsid w:val="00BE1A32"/>
    <w:rsid w:val="00BE23F2"/>
    <w:rsid w:val="00BE2659"/>
    <w:rsid w:val="00BE2E87"/>
    <w:rsid w:val="00BE31ED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CD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F1A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2DA"/>
    <w:rsid w:val="00C55C44"/>
    <w:rsid w:val="00C55C7E"/>
    <w:rsid w:val="00C57D9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893"/>
    <w:rsid w:val="00C921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B58"/>
    <w:rsid w:val="00CB2D12"/>
    <w:rsid w:val="00CB2E36"/>
    <w:rsid w:val="00CB38E8"/>
    <w:rsid w:val="00CB3CAD"/>
    <w:rsid w:val="00CB4985"/>
    <w:rsid w:val="00CB532B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286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894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787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1A97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625"/>
    <w:rsid w:val="00DC7B0D"/>
    <w:rsid w:val="00DC7CBE"/>
    <w:rsid w:val="00DD0B28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D7B01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DEB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54C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6E53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16B"/>
    <w:rsid w:val="00E54271"/>
    <w:rsid w:val="00E55075"/>
    <w:rsid w:val="00E5515A"/>
    <w:rsid w:val="00E552B0"/>
    <w:rsid w:val="00E55E94"/>
    <w:rsid w:val="00E5648B"/>
    <w:rsid w:val="00E56F98"/>
    <w:rsid w:val="00E60126"/>
    <w:rsid w:val="00E60543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1A3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E64"/>
    <w:rsid w:val="00F043C9"/>
    <w:rsid w:val="00F04FA6"/>
    <w:rsid w:val="00F0554B"/>
    <w:rsid w:val="00F07EE5"/>
    <w:rsid w:val="00F10609"/>
    <w:rsid w:val="00F113C1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6C2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06F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6FF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2F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5B36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47B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5A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42A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BCA"/>
    <w:rsid w:val="00FF2F94"/>
    <w:rsid w:val="00FF35C5"/>
    <w:rsid w:val="00FF37A7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4CEDA088-AA6B-4651-8394-EA6897A7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cf01">
    <w:name w:val="cf01"/>
    <w:basedOn w:val="DefaultParagraphFont"/>
    <w:rsid w:val="000C09D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FB12C855-263C-4026-806B-73AB187BC5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610</Words>
  <Characters>3773</Characters>
  <Application>Microsoft Office Word</Application>
  <DocSecurity>0</DocSecurity>
  <Lines>72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cinacalcet-Sensipar 1624-A SGM 2023</vt:lpstr>
    </vt:vector>
  </TitlesOfParts>
  <Company>PCS Health Systems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cinacalcet-Sensipar SGM 1624-A</dc:title>
  <dc:subject>cinacalcet-Sensipar SGM 1624-A</dc:subject>
  <dc:creator>CVS Caremark</dc:creator>
  <cp:keywords/>
  <cp:lastModifiedBy>Ortiz, Erica M</cp:lastModifiedBy>
  <cp:revision>6</cp:revision>
  <cp:lastPrinted>2018-01-09T07:01:00Z</cp:lastPrinted>
  <dcterms:created xsi:type="dcterms:W3CDTF">2025-03-06T21:24:00Z</dcterms:created>
  <dcterms:modified xsi:type="dcterms:W3CDTF">2025-03-06T21:28:00Z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1336400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